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 xml:space="preserve"> “文明云浮 与爱同行”第二届社会公益项目大赛初选评分表</w:t>
      </w:r>
    </w:p>
    <w:p>
      <w:pPr>
        <w:widowControl/>
        <w:spacing w:line="320" w:lineRule="atLeast"/>
        <w:rPr>
          <w:rFonts w:hint="eastAsia"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项目名称：                                                评分人（签名）：         评分时间：</w:t>
      </w:r>
    </w:p>
    <w:tbl>
      <w:tblPr>
        <w:tblStyle w:val="2"/>
        <w:tblW w:w="14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47"/>
        <w:gridCol w:w="7425"/>
        <w:gridCol w:w="1050"/>
        <w:gridCol w:w="25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7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标准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分值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专家评分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创新性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（15分）</w:t>
            </w:r>
          </w:p>
        </w:tc>
        <w:tc>
          <w:tcPr>
            <w:tcW w:w="7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项目在服务内容、运营模式、解决方案等方面有所突破，能有效地填补政府服务的空白和短板。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15分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0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实效性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7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项目预计产生的社会价值与人力和资金投入的比值。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15分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0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项目对社会问题的解决和引导社会关注具有实际贡献意义。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15分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0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可执行性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7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项目具有切实可执行的目标和实施方案。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10分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0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执行团队专业能力强、团队合作性高。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10分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0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项目具有链接多方社会资源的能力。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10分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可持续性（10分）</w:t>
            </w:r>
          </w:p>
        </w:tc>
        <w:tc>
          <w:tcPr>
            <w:tcW w:w="7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项目具有发展前景，能在更大范围进行推广。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10分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预算合理性（15分）</w:t>
            </w:r>
          </w:p>
        </w:tc>
        <w:tc>
          <w:tcPr>
            <w:tcW w:w="7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项目财务预算详细清晰，数额合理。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15分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原创性（加分项，3分）</w:t>
            </w:r>
          </w:p>
        </w:tc>
        <w:tc>
          <w:tcPr>
            <w:tcW w:w="7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项目提倡原创性，并能促进社会发展，具有较好社会效应。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3分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020" w:right="1020" w:bottom="1020" w:left="1020" w:header="851" w:footer="992" w:gutter="0"/>
      <w:paperSrc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30B4F"/>
    <w:rsid w:val="4A2A6E70"/>
    <w:rsid w:val="54C30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2019-04-17T07:43:00Z</dcterms:created>
  <dc:creator>Julie**</dc:creator>
  <cp:lastModifiedBy>Julie**</cp:lastModifiedBy>
  <dcterms:modified xsi:type="dcterms:W3CDTF">2019-04-17T08:01:47Z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